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6B19D" w14:textId="039E8C3A" w:rsidR="00A5761F" w:rsidRDefault="00A5761F" w:rsidP="00A5761F">
      <w:pPr>
        <w:rPr>
          <w:rFonts w:ascii="Times New Roman" w:hAnsi="Times New Roman" w:cs="Times New Roman"/>
          <w:b/>
          <w:bCs/>
          <w:sz w:val="24"/>
          <w:szCs w:val="24"/>
        </w:rPr>
      </w:pPr>
      <w:r>
        <w:rPr>
          <w:rFonts w:ascii="Times New Roman" w:hAnsi="Times New Roman" w:cs="Times New Roman"/>
          <w:b/>
          <w:bCs/>
          <w:sz w:val="24"/>
          <w:szCs w:val="24"/>
        </w:rPr>
        <w:t>ITL-i tagasiside RHS muutmise ettepanekutele</w:t>
      </w:r>
    </w:p>
    <w:p w14:paraId="7E870DE7" w14:textId="77777777" w:rsidR="006E3276" w:rsidRPr="003264AA" w:rsidRDefault="006E3276" w:rsidP="00A5761F">
      <w:pPr>
        <w:rPr>
          <w:rFonts w:ascii="Times New Roman" w:hAnsi="Times New Roman" w:cs="Times New Roman"/>
          <w:b/>
          <w:bCs/>
          <w:sz w:val="24"/>
          <w:szCs w:val="24"/>
        </w:rPr>
      </w:pPr>
    </w:p>
    <w:p w14:paraId="74289CF0" w14:textId="77777777" w:rsidR="00A5761F" w:rsidRDefault="00A5761F" w:rsidP="00A5761F">
      <w:pPr>
        <w:numPr>
          <w:ilvl w:val="0"/>
          <w:numId w:val="1"/>
        </w:numPr>
        <w:rPr>
          <w:rFonts w:ascii="Times New Roman" w:hAnsi="Times New Roman" w:cs="Times New Roman"/>
          <w:sz w:val="24"/>
          <w:szCs w:val="24"/>
        </w:rPr>
      </w:pPr>
      <w:r w:rsidRPr="51A61957">
        <w:rPr>
          <w:rFonts w:ascii="Times New Roman" w:hAnsi="Times New Roman" w:cs="Times New Roman"/>
          <w:sz w:val="24"/>
          <w:szCs w:val="24"/>
        </w:rPr>
        <w:t>Asendada senised kaks siseriiklikku piirmäära ühega ning kohaldada alla rahvusvahelise piirmäära hangetele lihthankemenetluse korda (RHS § 15)</w:t>
      </w:r>
    </w:p>
    <w:p w14:paraId="7BAE7EED" w14:textId="46CD7BBC" w:rsidR="006F70CC" w:rsidRPr="00374443" w:rsidRDefault="00A5761F" w:rsidP="00A5761F">
      <w:pPr>
        <w:rPr>
          <w:rFonts w:ascii="Times New Roman" w:hAnsi="Times New Roman" w:cs="Times New Roman"/>
          <w:b/>
          <w:bCs/>
          <w:sz w:val="24"/>
          <w:szCs w:val="24"/>
        </w:rPr>
      </w:pPr>
      <w:r w:rsidRPr="00374443">
        <w:rPr>
          <w:rFonts w:ascii="Times New Roman" w:hAnsi="Times New Roman" w:cs="Times New Roman"/>
          <w:b/>
          <w:bCs/>
          <w:sz w:val="24"/>
          <w:szCs w:val="24"/>
        </w:rPr>
        <w:t>ITL-i seisukoht: Toetame ettepanekut, kuid</w:t>
      </w:r>
      <w:r w:rsidR="006F70CC">
        <w:rPr>
          <w:rFonts w:ascii="Times New Roman" w:hAnsi="Times New Roman" w:cs="Times New Roman"/>
          <w:b/>
          <w:bCs/>
          <w:sz w:val="24"/>
          <w:szCs w:val="24"/>
        </w:rPr>
        <w:t xml:space="preserve"> näeme probleeme ja riske seoses</w:t>
      </w:r>
      <w:r w:rsidRPr="00374443">
        <w:rPr>
          <w:rFonts w:ascii="Times New Roman" w:hAnsi="Times New Roman" w:cs="Times New Roman"/>
          <w:b/>
          <w:bCs/>
          <w:sz w:val="24"/>
          <w:szCs w:val="24"/>
        </w:rPr>
        <w:t xml:space="preserve"> </w:t>
      </w:r>
      <w:r w:rsidR="00A05B74">
        <w:rPr>
          <w:rFonts w:ascii="Times New Roman" w:hAnsi="Times New Roman" w:cs="Times New Roman"/>
          <w:b/>
          <w:bCs/>
          <w:sz w:val="24"/>
          <w:szCs w:val="24"/>
        </w:rPr>
        <w:t>muudatusega kaasnev</w:t>
      </w:r>
      <w:r w:rsidR="006F70CC">
        <w:rPr>
          <w:rFonts w:ascii="Times New Roman" w:hAnsi="Times New Roman" w:cs="Times New Roman"/>
          <w:b/>
          <w:bCs/>
          <w:sz w:val="24"/>
          <w:szCs w:val="24"/>
        </w:rPr>
        <w:t>a</w:t>
      </w:r>
      <w:r w:rsidR="00A05B74">
        <w:rPr>
          <w:rFonts w:ascii="Times New Roman" w:hAnsi="Times New Roman" w:cs="Times New Roman"/>
          <w:b/>
          <w:bCs/>
          <w:sz w:val="24"/>
          <w:szCs w:val="24"/>
        </w:rPr>
        <w:t xml:space="preserve"> tähtaegade </w:t>
      </w:r>
      <w:r w:rsidR="006F70CC">
        <w:rPr>
          <w:rFonts w:ascii="Times New Roman" w:hAnsi="Times New Roman" w:cs="Times New Roman"/>
          <w:b/>
          <w:bCs/>
          <w:sz w:val="24"/>
          <w:szCs w:val="24"/>
        </w:rPr>
        <w:t>lühenemisega, mis vaja</w:t>
      </w:r>
      <w:r w:rsidR="00085A3C">
        <w:rPr>
          <w:rFonts w:ascii="Times New Roman" w:hAnsi="Times New Roman" w:cs="Times New Roman"/>
          <w:b/>
          <w:bCs/>
          <w:sz w:val="24"/>
          <w:szCs w:val="24"/>
        </w:rPr>
        <w:t>b kindlasti</w:t>
      </w:r>
      <w:r w:rsidR="006F70CC">
        <w:rPr>
          <w:rFonts w:ascii="Times New Roman" w:hAnsi="Times New Roman" w:cs="Times New Roman"/>
          <w:b/>
          <w:bCs/>
          <w:sz w:val="24"/>
          <w:szCs w:val="24"/>
        </w:rPr>
        <w:t xml:space="preserve"> eelnõus adresseerimist ja leevendusmeetmeid.</w:t>
      </w:r>
    </w:p>
    <w:p w14:paraId="41B78C4E" w14:textId="5349B7E1" w:rsidR="00E91D7B" w:rsidRPr="00E91D7B" w:rsidRDefault="3CC6235F" w:rsidP="3CC6235F">
      <w:pPr>
        <w:jc w:val="both"/>
        <w:rPr>
          <w:rFonts w:ascii="Times New Roman" w:eastAsia="Times New Roman" w:hAnsi="Times New Roman" w:cs="Times New Roman"/>
          <w:color w:val="000000" w:themeColor="text1"/>
          <w:sz w:val="24"/>
          <w:szCs w:val="24"/>
        </w:rPr>
      </w:pPr>
      <w:r w:rsidRPr="3CC6235F">
        <w:rPr>
          <w:rFonts w:ascii="Times New Roman" w:hAnsi="Times New Roman" w:cs="Times New Roman"/>
          <w:sz w:val="24"/>
          <w:szCs w:val="24"/>
        </w:rPr>
        <w:t>Lihthangete puhul on menetlus küll paindlikum ja kiirem, kuid samas jääb ettevõtjatele vähem aega hankija otsuste vaidlustamiseks.</w:t>
      </w:r>
      <w:r w:rsidRPr="3CC6235F">
        <w:rPr>
          <w:rFonts w:ascii="Times New Roman" w:eastAsia="Times New Roman" w:hAnsi="Times New Roman" w:cs="Times New Roman"/>
          <w:color w:val="000000" w:themeColor="text1"/>
          <w:sz w:val="24"/>
          <w:szCs w:val="24"/>
        </w:rPr>
        <w:t xml:space="preserve"> Seega pakkujate vaates avaldub muudatuse mõju tähtaegade lühenemise näol – pakkumuste esitamise tähtaeg lüheneb 15 kalendripäevalt 10 kalendripäevale. </w:t>
      </w:r>
    </w:p>
    <w:p w14:paraId="52E109E2" w14:textId="4E2A5471" w:rsidR="00E91D7B" w:rsidRPr="00E91D7B" w:rsidRDefault="3CC6235F" w:rsidP="00E91D7B">
      <w:pPr>
        <w:jc w:val="both"/>
        <w:rPr>
          <w:rFonts w:ascii="Times New Roman" w:eastAsia="Times New Roman" w:hAnsi="Times New Roman" w:cs="Times New Roman"/>
          <w:color w:val="000000" w:themeColor="text1"/>
          <w:sz w:val="24"/>
          <w:szCs w:val="24"/>
        </w:rPr>
      </w:pPr>
      <w:r w:rsidRPr="3CC6235F">
        <w:rPr>
          <w:rFonts w:ascii="Times New Roman" w:eastAsia="Times New Roman" w:hAnsi="Times New Roman" w:cs="Times New Roman"/>
          <w:color w:val="000000" w:themeColor="text1"/>
          <w:sz w:val="24"/>
          <w:szCs w:val="24"/>
        </w:rPr>
        <w:t>RHAD vaidlustamine peab olema laekunud 2 tööpäeva enne pakkumuste esitamise tähtaega. Senise 10 kalendripäeva asemel on otsuse vaidlustamiseks aega 3 tööpäeva. Lepingu ooteaeg on 14 kalendripäeva asemel 5 tööpäeva. Näeme siin riski, et t</w:t>
      </w:r>
      <w:r w:rsidRPr="3CC6235F">
        <w:rPr>
          <w:rFonts w:ascii="Times New Roman" w:hAnsi="Times New Roman" w:cs="Times New Roman"/>
          <w:sz w:val="24"/>
          <w:szCs w:val="24"/>
        </w:rPr>
        <w:t>ähtaegade lühenemine võib tuua kaasa menetluslikke vigu ning otsuseid, mis ei pruugi olla õiguspärased, kuid mis lühikese vaidlustustähtaja tõttu jäävad vaidlustamata. See omakorda võib viia probleemideni hankelepingu täitmises.</w:t>
      </w:r>
    </w:p>
    <w:p w14:paraId="6AAE5C86" w14:textId="193C17C8" w:rsidR="00A5761F" w:rsidRDefault="3CC6235F" w:rsidP="00E91D7B">
      <w:pPr>
        <w:jc w:val="both"/>
        <w:rPr>
          <w:rFonts w:ascii="Times New Roman" w:hAnsi="Times New Roman" w:cs="Times New Roman"/>
          <w:sz w:val="24"/>
          <w:szCs w:val="24"/>
        </w:rPr>
      </w:pPr>
      <w:r w:rsidRPr="3CC6235F">
        <w:rPr>
          <w:rFonts w:ascii="Times New Roman" w:eastAsia="Times New Roman" w:hAnsi="Times New Roman" w:cs="Times New Roman"/>
          <w:color w:val="000000" w:themeColor="text1"/>
          <w:sz w:val="24"/>
          <w:szCs w:val="24"/>
        </w:rPr>
        <w:t>Kogu hankemenetlus muutub küll oluliselt paindlikumaks, kuna lisandub võimalus näha ette läbirääkimised, alustada menetlust hindamisest jpm. Samas see tähendab, et kogu hankemenetluse reeglistik on igas hankes erinev ja iga hanke puhul tuleb sellesse põhjalikult süveneda, mis toob kaasa suurema ajakulu pakkujale.</w:t>
      </w:r>
      <w:r w:rsidRPr="3CC6235F">
        <w:rPr>
          <w:rFonts w:ascii="Times New Roman" w:hAnsi="Times New Roman" w:cs="Times New Roman"/>
          <w:sz w:val="24"/>
          <w:szCs w:val="24"/>
        </w:rPr>
        <w:t xml:space="preserve"> </w:t>
      </w:r>
    </w:p>
    <w:p w14:paraId="1DED0C96" w14:textId="6EB8F30C" w:rsidR="3CC6235F" w:rsidRDefault="3CC6235F" w:rsidP="3CC6235F">
      <w:pPr>
        <w:jc w:val="both"/>
        <w:rPr>
          <w:rFonts w:ascii="Times New Roman" w:hAnsi="Times New Roman" w:cs="Times New Roman"/>
          <w:sz w:val="24"/>
          <w:szCs w:val="24"/>
        </w:rPr>
      </w:pPr>
      <w:r w:rsidRPr="3CC6235F">
        <w:rPr>
          <w:rFonts w:ascii="Times New Roman" w:hAnsi="Times New Roman" w:cs="Times New Roman"/>
          <w:sz w:val="24"/>
          <w:szCs w:val="24"/>
        </w:rPr>
        <w:t xml:space="preserve">Lisaks vaidlustustele tekitavad probleemid tegelikult ka pakkumuse esitamise tähtajas, kuna pakkumusi ei hakata ju koostama kohe hanke väljatulemise päeval. Esmalt on pakkujatel vaja enda maja sees otsustada, kas hange tasub töösse võtta või mitte ning leida spetsialistid, kes pakkumust koostama hakkavad. </w:t>
      </w:r>
    </w:p>
    <w:p w14:paraId="76630B93" w14:textId="7559F5BE" w:rsidR="3CC6235F" w:rsidRDefault="3CC6235F" w:rsidP="3CC6235F">
      <w:pPr>
        <w:jc w:val="both"/>
        <w:rPr>
          <w:rFonts w:ascii="Times New Roman" w:hAnsi="Times New Roman" w:cs="Times New Roman"/>
          <w:sz w:val="24"/>
          <w:szCs w:val="24"/>
        </w:rPr>
      </w:pPr>
      <w:r w:rsidRPr="3CC6235F">
        <w:rPr>
          <w:rFonts w:ascii="Times New Roman" w:hAnsi="Times New Roman" w:cs="Times New Roman"/>
          <w:sz w:val="24"/>
          <w:szCs w:val="24"/>
        </w:rPr>
        <w:t xml:space="preserve">See kõik võtab aega, mis tähendab, et eelis on suurematel ettevõtetel, kuna neil on piisavalt inimressurssi, et pakkumusega kiiremini pihta hakata. Väiksemad ettevõtted ei suuda enamasti nii kiirelt reageerida. </w:t>
      </w:r>
    </w:p>
    <w:p w14:paraId="38DCC094" w14:textId="18812CAF" w:rsidR="3CC6235F" w:rsidRDefault="3CC6235F" w:rsidP="3CC6235F">
      <w:pPr>
        <w:jc w:val="both"/>
        <w:rPr>
          <w:rFonts w:ascii="Times New Roman" w:hAnsi="Times New Roman" w:cs="Times New Roman"/>
          <w:sz w:val="24"/>
          <w:szCs w:val="24"/>
        </w:rPr>
      </w:pPr>
      <w:r w:rsidRPr="3CC6235F">
        <w:rPr>
          <w:rFonts w:ascii="Times New Roman" w:hAnsi="Times New Roman" w:cs="Times New Roman"/>
          <w:sz w:val="24"/>
          <w:szCs w:val="24"/>
        </w:rPr>
        <w:t xml:space="preserve">Olgugi, et tegemist on minimaalse tähtajaga ja hankijad saavad määrata ka pikema tähtaja, siis reaalsed kogemused näitavad, et pigem arvestatakse vaikimisi minimaalse tähtajaga, mida seejärel vastavalt teabevahetuses tulnud muudatusettepanekutele edasi lükatakse. </w:t>
      </w:r>
    </w:p>
    <w:p w14:paraId="3250C444" w14:textId="705CE08E" w:rsidR="00462B40" w:rsidRPr="00E91D7B" w:rsidRDefault="3CC6235F" w:rsidP="3CC6235F">
      <w:pPr>
        <w:jc w:val="both"/>
        <w:rPr>
          <w:rFonts w:ascii="Times New Roman" w:hAnsi="Times New Roman" w:cs="Times New Roman"/>
          <w:sz w:val="24"/>
          <w:szCs w:val="24"/>
        </w:rPr>
      </w:pPr>
      <w:r w:rsidRPr="3CC6235F">
        <w:rPr>
          <w:rFonts w:ascii="Times New Roman" w:hAnsi="Times New Roman" w:cs="Times New Roman"/>
          <w:sz w:val="24"/>
          <w:szCs w:val="24"/>
        </w:rPr>
        <w:t xml:space="preserve">Lõpetuseks mainime ära ka läbipaistvuse küsimuse. Nimelt lihthanke puhul ei genereeri register automaatselt avamise protokolli ning pakkujad saavad laekunud pakkumuste info alles lõpptulemuste avaldamise hetkel. </w:t>
      </w:r>
    </w:p>
    <w:p w14:paraId="3AA72DB3" w14:textId="71B89EF5" w:rsidR="00462B40" w:rsidRPr="00E91D7B" w:rsidRDefault="3CC6235F" w:rsidP="00E91D7B">
      <w:pPr>
        <w:jc w:val="both"/>
        <w:rPr>
          <w:rFonts w:ascii="Times New Roman" w:hAnsi="Times New Roman" w:cs="Times New Roman"/>
          <w:sz w:val="24"/>
          <w:szCs w:val="24"/>
        </w:rPr>
      </w:pPr>
      <w:r w:rsidRPr="3CC6235F">
        <w:rPr>
          <w:rFonts w:ascii="Times New Roman" w:hAnsi="Times New Roman" w:cs="Times New Roman"/>
          <w:sz w:val="24"/>
          <w:szCs w:val="24"/>
        </w:rPr>
        <w:t xml:space="preserve">See tuleks muudatuste tegemisel samuti automaatseks muuta ning kui juba muudatusi </w:t>
      </w:r>
      <w:r w:rsidR="00A600A7">
        <w:rPr>
          <w:rFonts w:ascii="Times New Roman" w:hAnsi="Times New Roman" w:cs="Times New Roman"/>
          <w:sz w:val="24"/>
          <w:szCs w:val="24"/>
        </w:rPr>
        <w:t>kavandatakse</w:t>
      </w:r>
      <w:r w:rsidRPr="3CC6235F">
        <w:rPr>
          <w:rFonts w:ascii="Times New Roman" w:hAnsi="Times New Roman" w:cs="Times New Roman"/>
          <w:sz w:val="24"/>
          <w:szCs w:val="24"/>
        </w:rPr>
        <w:t xml:space="preserve">, siis tasub sama teha ka minikonkurssides esitatavate pakkumuste puhul, kuna seal ei tule samuti automaatseid avamisprotokolle. Automaatsed protokollid on eriti kasulikud 100% maksumusega hangete puhul. Täna peavad pakkujad ootama mõnikord mitu nädalat kuni tulemused avaldatakse. Mõned hankijad saadavad ise laekunud pakkumuste info, kuid nemad on pigem erandid. </w:t>
      </w:r>
    </w:p>
    <w:p w14:paraId="3E206037" w14:textId="77777777" w:rsidR="00A5761F" w:rsidRDefault="00A5761F" w:rsidP="00A5761F">
      <w:pPr>
        <w:numPr>
          <w:ilvl w:val="0"/>
          <w:numId w:val="1"/>
        </w:numPr>
        <w:rPr>
          <w:rFonts w:ascii="Times New Roman" w:hAnsi="Times New Roman" w:cs="Times New Roman"/>
          <w:sz w:val="24"/>
          <w:szCs w:val="24"/>
        </w:rPr>
      </w:pPr>
      <w:r w:rsidRPr="51A61957">
        <w:rPr>
          <w:rFonts w:ascii="Times New Roman" w:hAnsi="Times New Roman" w:cs="Times New Roman"/>
          <w:sz w:val="24"/>
          <w:szCs w:val="24"/>
        </w:rPr>
        <w:lastRenderedPageBreak/>
        <w:t>Vabatahtlike kõrvaldamisaluste kontrollimise vabatahtlikuks muutmine (RHS § 95 lg 4)</w:t>
      </w:r>
    </w:p>
    <w:p w14:paraId="7B17E828" w14:textId="4097B6B8" w:rsidR="00A5761F" w:rsidRPr="009D3E02" w:rsidRDefault="00A5761F" w:rsidP="00A5761F">
      <w:pPr>
        <w:rPr>
          <w:rFonts w:ascii="Times New Roman" w:hAnsi="Times New Roman" w:cs="Times New Roman"/>
          <w:b/>
          <w:bCs/>
          <w:sz w:val="24"/>
          <w:szCs w:val="24"/>
        </w:rPr>
      </w:pPr>
      <w:r w:rsidRPr="009D3E02">
        <w:rPr>
          <w:rFonts w:ascii="Times New Roman" w:hAnsi="Times New Roman" w:cs="Times New Roman"/>
          <w:b/>
          <w:bCs/>
          <w:sz w:val="24"/>
          <w:szCs w:val="24"/>
        </w:rPr>
        <w:t xml:space="preserve">ITL-i seisukoht: Ei toeta ettepanekut, </w:t>
      </w:r>
      <w:r w:rsidR="00CB7090">
        <w:rPr>
          <w:rFonts w:ascii="Times New Roman" w:hAnsi="Times New Roman" w:cs="Times New Roman"/>
          <w:b/>
          <w:bCs/>
          <w:sz w:val="24"/>
          <w:szCs w:val="24"/>
        </w:rPr>
        <w:t>sest</w:t>
      </w:r>
      <w:r w:rsidRPr="009D3E02">
        <w:rPr>
          <w:rFonts w:ascii="Times New Roman" w:hAnsi="Times New Roman" w:cs="Times New Roman"/>
          <w:b/>
          <w:bCs/>
          <w:sz w:val="24"/>
          <w:szCs w:val="24"/>
        </w:rPr>
        <w:t xml:space="preserve"> pakkujate vaates positiivne mõju ei kaalu üles negatiivse mõju riske.</w:t>
      </w:r>
    </w:p>
    <w:p w14:paraId="5F323FFD" w14:textId="646C4808" w:rsidR="00A5761F" w:rsidRPr="008E1680" w:rsidRDefault="00BB3D81" w:rsidP="008E1680">
      <w:pPr>
        <w:jc w:val="both"/>
        <w:rPr>
          <w:rFonts w:ascii="Times New Roman" w:eastAsia="Times New Roman" w:hAnsi="Times New Roman" w:cs="Times New Roman"/>
          <w:color w:val="000000" w:themeColor="text1"/>
          <w:sz w:val="24"/>
          <w:szCs w:val="24"/>
        </w:rPr>
      </w:pPr>
      <w:r w:rsidRPr="008E1680">
        <w:rPr>
          <w:rFonts w:ascii="Times New Roman" w:eastAsia="Times New Roman" w:hAnsi="Times New Roman" w:cs="Times New Roman"/>
          <w:color w:val="000000" w:themeColor="text1"/>
          <w:sz w:val="24"/>
          <w:szCs w:val="24"/>
        </w:rPr>
        <w:t xml:space="preserve">Muudatuse positiivne mõju pakkuja vaates avaldub selles, et pakkujal on vaja vähem dokumente esitada enda kõrvaldamise aluste osas. Samas on </w:t>
      </w:r>
      <w:r w:rsidR="007D1930" w:rsidRPr="008E1680">
        <w:rPr>
          <w:rFonts w:ascii="Times New Roman" w:eastAsia="Times New Roman" w:hAnsi="Times New Roman" w:cs="Times New Roman"/>
          <w:color w:val="000000" w:themeColor="text1"/>
          <w:sz w:val="24"/>
          <w:szCs w:val="24"/>
        </w:rPr>
        <w:t>m</w:t>
      </w:r>
      <w:r w:rsidR="00A5761F" w:rsidRPr="008E1680">
        <w:rPr>
          <w:rFonts w:ascii="Times New Roman" w:eastAsia="Times New Roman" w:hAnsi="Times New Roman" w:cs="Times New Roman"/>
          <w:color w:val="000000" w:themeColor="text1"/>
          <w:sz w:val="24"/>
          <w:szCs w:val="24"/>
        </w:rPr>
        <w:t>uudatuse</w:t>
      </w:r>
      <w:r w:rsidR="007D1930" w:rsidRPr="008E1680">
        <w:rPr>
          <w:rFonts w:ascii="Times New Roman" w:eastAsia="Times New Roman" w:hAnsi="Times New Roman" w:cs="Times New Roman"/>
          <w:color w:val="000000" w:themeColor="text1"/>
          <w:sz w:val="24"/>
          <w:szCs w:val="24"/>
        </w:rPr>
        <w:t>l olulised negatiivse mõju riskid pakkujate jaoks:</w:t>
      </w:r>
      <w:r w:rsidR="00A5761F" w:rsidRPr="008E1680">
        <w:rPr>
          <w:rFonts w:ascii="Times New Roman" w:eastAsia="Times New Roman" w:hAnsi="Times New Roman" w:cs="Times New Roman"/>
          <w:color w:val="000000" w:themeColor="text1"/>
          <w:sz w:val="24"/>
          <w:szCs w:val="24"/>
        </w:rPr>
        <w:t xml:space="preserve"> konkurentsi võivad jääda pakkujad, kes on tegelikult ebausaldusväärsed</w:t>
      </w:r>
      <w:r w:rsidR="0030439B" w:rsidRPr="008E1680">
        <w:rPr>
          <w:rFonts w:ascii="Times New Roman" w:eastAsia="Times New Roman" w:hAnsi="Times New Roman" w:cs="Times New Roman"/>
          <w:color w:val="000000" w:themeColor="text1"/>
          <w:sz w:val="24"/>
          <w:szCs w:val="24"/>
        </w:rPr>
        <w:t xml:space="preserve">. </w:t>
      </w:r>
      <w:r w:rsidR="00A5761F" w:rsidRPr="008E1680">
        <w:rPr>
          <w:rFonts w:ascii="Times New Roman" w:eastAsia="Times New Roman" w:hAnsi="Times New Roman" w:cs="Times New Roman"/>
          <w:color w:val="000000" w:themeColor="text1"/>
          <w:sz w:val="24"/>
          <w:szCs w:val="24"/>
        </w:rPr>
        <w:t xml:space="preserve"> Näiteks on RHS § 95 lg 4 alusel võimalik kõrvaldada korruptsiooni, terrorismi, inimkaubanduse, keskkonnakaitse, maksu- vm valdkondades toimunud üleastumistega seotud ettevõtjaid. Ning peamiselt küll hankijate kaitseks loodud varasemate hankelepingute rikkumise alus (p 8) jääks vabatahtlikuks</w:t>
      </w:r>
      <w:r w:rsidR="004E3174">
        <w:rPr>
          <w:rFonts w:ascii="Times New Roman" w:eastAsia="Times New Roman" w:hAnsi="Times New Roman" w:cs="Times New Roman"/>
          <w:color w:val="000000" w:themeColor="text1"/>
          <w:sz w:val="24"/>
          <w:szCs w:val="24"/>
        </w:rPr>
        <w:t>,</w:t>
      </w:r>
      <w:r w:rsidR="00A5761F" w:rsidRPr="008E1680">
        <w:rPr>
          <w:rFonts w:ascii="Times New Roman" w:eastAsia="Times New Roman" w:hAnsi="Times New Roman" w:cs="Times New Roman"/>
          <w:color w:val="000000" w:themeColor="text1"/>
          <w:sz w:val="24"/>
          <w:szCs w:val="24"/>
        </w:rPr>
        <w:t xml:space="preserve"> aga see on ka konkurentide poolt olnud üks eduka pakkuja vaidlustamise aluseid.</w:t>
      </w:r>
    </w:p>
    <w:p w14:paraId="25CDB7AF" w14:textId="69EEA7B1" w:rsidR="00A5761F" w:rsidRPr="008E1680" w:rsidRDefault="3CC6235F" w:rsidP="008E1680">
      <w:pPr>
        <w:jc w:val="both"/>
        <w:rPr>
          <w:rFonts w:ascii="Times New Roman" w:hAnsi="Times New Roman" w:cs="Times New Roman"/>
          <w:sz w:val="24"/>
          <w:szCs w:val="24"/>
        </w:rPr>
      </w:pPr>
      <w:r w:rsidRPr="3CC6235F">
        <w:rPr>
          <w:rFonts w:ascii="Times New Roman" w:hAnsi="Times New Roman" w:cs="Times New Roman"/>
          <w:sz w:val="24"/>
          <w:szCs w:val="24"/>
        </w:rPr>
        <w:t>Seaduse muudatuse esialgse etapina võiks muudatust rakendada üksnes alla rahvusvahelise piirmäära jäävates hangetes, nagu oli pakutud alternatiivina. See võimaldaks hinnata muudatuse mõju praktikas ning vajadusel teha täiendusi enne selle laiemat rakendamist.</w:t>
      </w:r>
    </w:p>
    <w:p w14:paraId="600C8831" w14:textId="77777777" w:rsidR="00A5761F" w:rsidRDefault="00A5761F" w:rsidP="00A5761F">
      <w:pPr>
        <w:jc w:val="both"/>
        <w:rPr>
          <w:rFonts w:ascii="Times New Roman" w:eastAsia="Times New Roman" w:hAnsi="Times New Roman" w:cs="Times New Roman"/>
          <w:sz w:val="24"/>
          <w:szCs w:val="24"/>
        </w:rPr>
      </w:pPr>
    </w:p>
    <w:p w14:paraId="5BD1B4EA" w14:textId="77777777" w:rsidR="00A5761F" w:rsidRDefault="00A5761F" w:rsidP="00A5761F">
      <w:pPr>
        <w:numPr>
          <w:ilvl w:val="0"/>
          <w:numId w:val="1"/>
        </w:numPr>
        <w:rPr>
          <w:rFonts w:ascii="Times New Roman" w:hAnsi="Times New Roman" w:cs="Times New Roman"/>
          <w:sz w:val="24"/>
          <w:szCs w:val="24"/>
        </w:rPr>
      </w:pPr>
      <w:r w:rsidRPr="51A61957">
        <w:rPr>
          <w:rFonts w:ascii="Times New Roman" w:hAnsi="Times New Roman" w:cs="Times New Roman"/>
          <w:sz w:val="24"/>
          <w:szCs w:val="24"/>
        </w:rPr>
        <w:t>Põhjendamatult madala maksumusega pakkumuste kontrollimine vabatahtlikuks allpool rahvusvahelist piirmäära (RHS § 115)</w:t>
      </w:r>
    </w:p>
    <w:p w14:paraId="17164B2E" w14:textId="1EB702DD" w:rsidR="00A5761F" w:rsidRPr="00CA6EB7" w:rsidRDefault="00A5761F" w:rsidP="00A5761F">
      <w:pPr>
        <w:rPr>
          <w:rFonts w:ascii="Times New Roman" w:hAnsi="Times New Roman" w:cs="Times New Roman"/>
          <w:b/>
          <w:bCs/>
          <w:sz w:val="24"/>
          <w:szCs w:val="24"/>
        </w:rPr>
      </w:pPr>
      <w:r w:rsidRPr="00CA6EB7">
        <w:rPr>
          <w:rFonts w:ascii="Times New Roman" w:hAnsi="Times New Roman" w:cs="Times New Roman"/>
          <w:b/>
          <w:bCs/>
          <w:sz w:val="24"/>
          <w:szCs w:val="24"/>
        </w:rPr>
        <w:t xml:space="preserve">ITL-i seisukoht: Toetame ettepanekut, sest </w:t>
      </w:r>
      <w:r w:rsidR="003B4439">
        <w:rPr>
          <w:rFonts w:ascii="Times New Roman" w:hAnsi="Times New Roman" w:cs="Times New Roman"/>
          <w:b/>
          <w:bCs/>
          <w:sz w:val="24"/>
          <w:szCs w:val="24"/>
        </w:rPr>
        <w:t xml:space="preserve">kehtiva seaduse </w:t>
      </w:r>
      <w:r w:rsidRPr="00CA6EB7">
        <w:rPr>
          <w:rFonts w:ascii="Times New Roman" w:hAnsi="Times New Roman" w:cs="Times New Roman"/>
          <w:b/>
          <w:bCs/>
          <w:sz w:val="24"/>
          <w:szCs w:val="24"/>
        </w:rPr>
        <w:t xml:space="preserve">säte ei täida oma eesmärki, </w:t>
      </w:r>
      <w:r>
        <w:rPr>
          <w:rFonts w:ascii="Times New Roman" w:hAnsi="Times New Roman" w:cs="Times New Roman"/>
          <w:b/>
          <w:bCs/>
          <w:sz w:val="24"/>
          <w:szCs w:val="24"/>
        </w:rPr>
        <w:t>ei kaitse turgu ega hankijat.</w:t>
      </w:r>
    </w:p>
    <w:p w14:paraId="64B3B630" w14:textId="7C993B59" w:rsidR="00A5761F" w:rsidRDefault="3CC6235F" w:rsidP="3CC6235F">
      <w:pPr>
        <w:jc w:val="both"/>
        <w:rPr>
          <w:rFonts w:ascii="Times New Roman" w:eastAsia="Times New Roman" w:hAnsi="Times New Roman" w:cs="Times New Roman"/>
          <w:color w:val="000000" w:themeColor="text1"/>
          <w:sz w:val="24"/>
          <w:szCs w:val="24"/>
        </w:rPr>
      </w:pPr>
      <w:r w:rsidRPr="3CC6235F">
        <w:rPr>
          <w:rFonts w:ascii="Times New Roman" w:eastAsia="Times New Roman" w:hAnsi="Times New Roman" w:cs="Times New Roman"/>
          <w:color w:val="000000" w:themeColor="text1"/>
          <w:sz w:val="24"/>
          <w:szCs w:val="24"/>
        </w:rPr>
        <w:t xml:space="preserve">Põhjendamatult madala maksumusega pakkumuste säte täna kehtivas seaduses ei täida oma eesmärki ja regulatsioon täna tegelikult ei toimi. Seetõttu toetab ITL lihtsustamise eesmärgil põhjendamatult madala maksumusega pakkumuste kontrollimise vabatahtlikuks muutmist allpool rahvusvahelist piirmäära. </w:t>
      </w:r>
    </w:p>
    <w:p w14:paraId="4D4ED2D7" w14:textId="3E9293D2" w:rsidR="00A5761F" w:rsidRDefault="3CC6235F" w:rsidP="00A5761F">
      <w:pPr>
        <w:jc w:val="both"/>
        <w:rPr>
          <w:rFonts w:ascii="Times New Roman" w:eastAsia="Times New Roman" w:hAnsi="Times New Roman" w:cs="Times New Roman"/>
          <w:color w:val="000000" w:themeColor="text1"/>
          <w:sz w:val="24"/>
          <w:szCs w:val="24"/>
        </w:rPr>
      </w:pPr>
      <w:r w:rsidRPr="3CC6235F">
        <w:rPr>
          <w:rFonts w:ascii="Times New Roman" w:eastAsia="Times New Roman" w:hAnsi="Times New Roman" w:cs="Times New Roman"/>
          <w:color w:val="000000" w:themeColor="text1"/>
          <w:sz w:val="24"/>
          <w:szCs w:val="24"/>
        </w:rPr>
        <w:t xml:space="preserve">Rõhutame siiski </w:t>
      </w:r>
      <w:r w:rsidR="00F62454">
        <w:rPr>
          <w:rFonts w:ascii="Times New Roman" w:eastAsia="Times New Roman" w:hAnsi="Times New Roman" w:cs="Times New Roman"/>
          <w:color w:val="000000" w:themeColor="text1"/>
          <w:sz w:val="24"/>
          <w:szCs w:val="24"/>
        </w:rPr>
        <w:t>alapakkumuste</w:t>
      </w:r>
      <w:r w:rsidR="006B3D5D">
        <w:rPr>
          <w:rFonts w:ascii="Times New Roman" w:eastAsia="Times New Roman" w:hAnsi="Times New Roman" w:cs="Times New Roman"/>
          <w:color w:val="000000" w:themeColor="text1"/>
          <w:sz w:val="24"/>
          <w:szCs w:val="24"/>
        </w:rPr>
        <w:t xml:space="preserve"> </w:t>
      </w:r>
      <w:r w:rsidRPr="3CC6235F">
        <w:rPr>
          <w:rFonts w:ascii="Times New Roman" w:eastAsia="Times New Roman" w:hAnsi="Times New Roman" w:cs="Times New Roman"/>
          <w:color w:val="000000" w:themeColor="text1"/>
          <w:sz w:val="24"/>
          <w:szCs w:val="24"/>
        </w:rPr>
        <w:t xml:space="preserve">probleemi </w:t>
      </w:r>
      <w:r w:rsidR="00F62454">
        <w:rPr>
          <w:rFonts w:ascii="Times New Roman" w:eastAsia="Times New Roman" w:hAnsi="Times New Roman" w:cs="Times New Roman"/>
          <w:color w:val="000000" w:themeColor="text1"/>
          <w:sz w:val="24"/>
          <w:szCs w:val="24"/>
        </w:rPr>
        <w:t xml:space="preserve">olulisust </w:t>
      </w:r>
      <w:r w:rsidRPr="3CC6235F">
        <w:rPr>
          <w:rFonts w:ascii="Times New Roman" w:eastAsia="Times New Roman" w:hAnsi="Times New Roman" w:cs="Times New Roman"/>
          <w:color w:val="000000" w:themeColor="text1"/>
          <w:sz w:val="24"/>
          <w:szCs w:val="24"/>
        </w:rPr>
        <w:t>ja seda, et muudatusega avatakse veelgi suurem võimalus ebaausate pakkujate poolseteks hinnamahhinatsioonideks. Sisult ei kaitseks miski hankijat enam alapakkumuse eest ega pakkujaid turumoonutuste eest, v.a. juhul kui hankija vabatahtlikult otsustab siiski alapakkumuse regulatsiooni kehtestada.</w:t>
      </w:r>
    </w:p>
    <w:p w14:paraId="4E1AC3C7" w14:textId="77777777" w:rsidR="00A5761F" w:rsidRDefault="00A5761F" w:rsidP="00A5761F">
      <w:pPr>
        <w:numPr>
          <w:ilvl w:val="0"/>
          <w:numId w:val="1"/>
        </w:numPr>
        <w:rPr>
          <w:rFonts w:ascii="Times New Roman" w:hAnsi="Times New Roman" w:cs="Times New Roman"/>
          <w:sz w:val="24"/>
          <w:szCs w:val="24"/>
        </w:rPr>
      </w:pPr>
      <w:r w:rsidRPr="51A61957">
        <w:rPr>
          <w:rFonts w:ascii="Times New Roman" w:hAnsi="Times New Roman" w:cs="Times New Roman"/>
          <w:sz w:val="24"/>
          <w:szCs w:val="24"/>
        </w:rPr>
        <w:t>Võimaldada hankijal kontrollida vaid majanduslikult soodsaima pakkumuse vastavust, kui pakkumusi hinnatakse üksnes maksumuse alusel.</w:t>
      </w:r>
    </w:p>
    <w:p w14:paraId="73D5817B" w14:textId="32BAE442" w:rsidR="00A5761F" w:rsidRPr="00127CD3" w:rsidRDefault="3CC6235F" w:rsidP="00A5761F">
      <w:pPr>
        <w:rPr>
          <w:rFonts w:ascii="Times New Roman" w:hAnsi="Times New Roman" w:cs="Times New Roman"/>
          <w:b/>
          <w:bCs/>
          <w:sz w:val="24"/>
          <w:szCs w:val="24"/>
        </w:rPr>
      </w:pPr>
      <w:r w:rsidRPr="3CC6235F">
        <w:rPr>
          <w:rFonts w:ascii="Times New Roman" w:hAnsi="Times New Roman" w:cs="Times New Roman"/>
          <w:b/>
          <w:bCs/>
          <w:sz w:val="24"/>
          <w:szCs w:val="24"/>
        </w:rPr>
        <w:t>ITL-i seisukoht: Toetame ettepanekut juhul, kui maandatakse ära võimalik manipuleerimise risk.</w:t>
      </w:r>
    </w:p>
    <w:p w14:paraId="77F8A1AB" w14:textId="56BB48DD" w:rsidR="009F5E10" w:rsidRDefault="3CC6235F" w:rsidP="3CC6235F">
      <w:pPr>
        <w:jc w:val="both"/>
        <w:rPr>
          <w:rFonts w:ascii="Times New Roman" w:eastAsia="Times New Roman" w:hAnsi="Times New Roman" w:cs="Times New Roman"/>
          <w:color w:val="000000" w:themeColor="text1"/>
          <w:sz w:val="24"/>
          <w:szCs w:val="24"/>
        </w:rPr>
      </w:pPr>
      <w:r w:rsidRPr="3CC6235F">
        <w:rPr>
          <w:rFonts w:ascii="Times New Roman" w:eastAsia="Times New Roman" w:hAnsi="Times New Roman" w:cs="Times New Roman"/>
          <w:color w:val="000000" w:themeColor="text1"/>
          <w:sz w:val="24"/>
          <w:szCs w:val="24"/>
        </w:rPr>
        <w:t xml:space="preserve">Hindame, et muudatusel on tervikuna positiivne mõju, kuna see lihtsustab ja kiirendab menetlust, sest  pakkujad ei pea vastama ja aega kulutama nt CV-de või muude vastavusega seotud selgitustaotlustega, kui pakkumus ei ole edukas. Seega pooldame ettepanekut. </w:t>
      </w:r>
    </w:p>
    <w:p w14:paraId="2B3A3F64" w14:textId="5997BD35" w:rsidR="009F5E10" w:rsidRDefault="3CC6235F" w:rsidP="3CC6235F">
      <w:pPr>
        <w:jc w:val="both"/>
        <w:rPr>
          <w:rFonts w:ascii="Times New Roman" w:eastAsia="Times New Roman" w:hAnsi="Times New Roman" w:cs="Times New Roman"/>
          <w:color w:val="000000" w:themeColor="text1"/>
          <w:sz w:val="24"/>
          <w:szCs w:val="24"/>
        </w:rPr>
      </w:pPr>
      <w:r w:rsidRPr="3CC6235F">
        <w:rPr>
          <w:rFonts w:ascii="Times New Roman" w:eastAsia="Times New Roman" w:hAnsi="Times New Roman" w:cs="Times New Roman"/>
          <w:color w:val="000000" w:themeColor="text1"/>
          <w:sz w:val="24"/>
          <w:szCs w:val="24"/>
        </w:rPr>
        <w:t>Samas negatiivse poole pealt võib hindamisvalemisse sattuda pakkumus, mis on tahtlikult mittevastav ja see võib teatud keerumakate (mitme komponendiga) hindamiskriteeriumite korral avaldada mõju hanke tulemusele. ITL-i hinnangul tuleb eelnõu koostamisel selliste manipuleerimisriskide võimalikkust hinnata.</w:t>
      </w:r>
    </w:p>
    <w:sectPr w:rsidR="009F5E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A1746"/>
    <w:multiLevelType w:val="hybridMultilevel"/>
    <w:tmpl w:val="3FA2AF8C"/>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16cid:durableId="189405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475"/>
    <w:rsid w:val="00085A3C"/>
    <w:rsid w:val="0009631F"/>
    <w:rsid w:val="000A7105"/>
    <w:rsid w:val="0013603E"/>
    <w:rsid w:val="00182D79"/>
    <w:rsid w:val="00247465"/>
    <w:rsid w:val="0027732D"/>
    <w:rsid w:val="00282B57"/>
    <w:rsid w:val="0030439B"/>
    <w:rsid w:val="00354347"/>
    <w:rsid w:val="003B4439"/>
    <w:rsid w:val="00462B40"/>
    <w:rsid w:val="004A3166"/>
    <w:rsid w:val="004C1B21"/>
    <w:rsid w:val="004E3174"/>
    <w:rsid w:val="00511950"/>
    <w:rsid w:val="00513423"/>
    <w:rsid w:val="006B3D5D"/>
    <w:rsid w:val="006E3276"/>
    <w:rsid w:val="006F70CC"/>
    <w:rsid w:val="007B6992"/>
    <w:rsid w:val="007D1930"/>
    <w:rsid w:val="008356B8"/>
    <w:rsid w:val="008407CA"/>
    <w:rsid w:val="008872C9"/>
    <w:rsid w:val="008D5E15"/>
    <w:rsid w:val="008E1680"/>
    <w:rsid w:val="009D0475"/>
    <w:rsid w:val="009F5E10"/>
    <w:rsid w:val="00A05B74"/>
    <w:rsid w:val="00A16661"/>
    <w:rsid w:val="00A5761F"/>
    <w:rsid w:val="00A600A7"/>
    <w:rsid w:val="00A64E37"/>
    <w:rsid w:val="00B84708"/>
    <w:rsid w:val="00B90C35"/>
    <w:rsid w:val="00BB3D81"/>
    <w:rsid w:val="00BF7392"/>
    <w:rsid w:val="00C21A3F"/>
    <w:rsid w:val="00C85EE1"/>
    <w:rsid w:val="00CB7090"/>
    <w:rsid w:val="00D261F3"/>
    <w:rsid w:val="00D645C3"/>
    <w:rsid w:val="00DD2497"/>
    <w:rsid w:val="00DE345B"/>
    <w:rsid w:val="00E67DC5"/>
    <w:rsid w:val="00E91D7B"/>
    <w:rsid w:val="00F422AB"/>
    <w:rsid w:val="00F62454"/>
    <w:rsid w:val="00FE68A9"/>
    <w:rsid w:val="3CC6235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80BD2"/>
  <w15:chartTrackingRefBased/>
  <w15:docId w15:val="{E1C999CD-4283-417D-97FA-87A8EFBAA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5761F"/>
  </w:style>
  <w:style w:type="paragraph" w:styleId="Pealkiri1">
    <w:name w:val="heading 1"/>
    <w:basedOn w:val="Normaallaad"/>
    <w:next w:val="Normaallaad"/>
    <w:link w:val="Pealkiri1Mrk"/>
    <w:uiPriority w:val="9"/>
    <w:qFormat/>
    <w:rsid w:val="009D04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9D04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9D0475"/>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9D0475"/>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9D0475"/>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9D0475"/>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9D0475"/>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9D0475"/>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9D0475"/>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9D0475"/>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9D0475"/>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9D0475"/>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9D0475"/>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9D0475"/>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9D0475"/>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9D0475"/>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9D0475"/>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9D0475"/>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9D04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9D0475"/>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9D0475"/>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9D0475"/>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9D0475"/>
    <w:pPr>
      <w:spacing w:before="160"/>
      <w:jc w:val="center"/>
    </w:pPr>
    <w:rPr>
      <w:i/>
      <w:iCs/>
      <w:color w:val="404040" w:themeColor="text1" w:themeTint="BF"/>
    </w:rPr>
  </w:style>
  <w:style w:type="character" w:customStyle="1" w:styleId="TsitaatMrk">
    <w:name w:val="Tsitaat Märk"/>
    <w:basedOn w:val="Liguvaikefont"/>
    <w:link w:val="Tsitaat"/>
    <w:uiPriority w:val="29"/>
    <w:rsid w:val="009D0475"/>
    <w:rPr>
      <w:i/>
      <w:iCs/>
      <w:color w:val="404040" w:themeColor="text1" w:themeTint="BF"/>
    </w:rPr>
  </w:style>
  <w:style w:type="paragraph" w:styleId="Loendilik">
    <w:name w:val="List Paragraph"/>
    <w:basedOn w:val="Normaallaad"/>
    <w:uiPriority w:val="34"/>
    <w:qFormat/>
    <w:rsid w:val="009D0475"/>
    <w:pPr>
      <w:ind w:left="720"/>
      <w:contextualSpacing/>
    </w:pPr>
  </w:style>
  <w:style w:type="character" w:styleId="Selgeltmrgatavrhutus">
    <w:name w:val="Intense Emphasis"/>
    <w:basedOn w:val="Liguvaikefont"/>
    <w:uiPriority w:val="21"/>
    <w:qFormat/>
    <w:rsid w:val="009D0475"/>
    <w:rPr>
      <w:i/>
      <w:iCs/>
      <w:color w:val="0F4761" w:themeColor="accent1" w:themeShade="BF"/>
    </w:rPr>
  </w:style>
  <w:style w:type="paragraph" w:styleId="Selgeltmrgatavtsitaat">
    <w:name w:val="Intense Quote"/>
    <w:basedOn w:val="Normaallaad"/>
    <w:next w:val="Normaallaad"/>
    <w:link w:val="SelgeltmrgatavtsitaatMrk"/>
    <w:uiPriority w:val="30"/>
    <w:qFormat/>
    <w:rsid w:val="009D04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9D0475"/>
    <w:rPr>
      <w:i/>
      <w:iCs/>
      <w:color w:val="0F4761" w:themeColor="accent1" w:themeShade="BF"/>
    </w:rPr>
  </w:style>
  <w:style w:type="character" w:styleId="Selgeltmrgatavviide">
    <w:name w:val="Intense Reference"/>
    <w:basedOn w:val="Liguvaikefont"/>
    <w:uiPriority w:val="32"/>
    <w:qFormat/>
    <w:rsid w:val="009D0475"/>
    <w:rPr>
      <w:b/>
      <w:bCs/>
      <w:smallCaps/>
      <w:color w:val="0F4761" w:themeColor="accent1" w:themeShade="BF"/>
      <w:spacing w:val="5"/>
    </w:rPr>
  </w:style>
  <w:style w:type="character" w:styleId="Kommentaariviide">
    <w:name w:val="annotation reference"/>
    <w:basedOn w:val="Liguvaikefont"/>
    <w:uiPriority w:val="99"/>
    <w:semiHidden/>
    <w:unhideWhenUsed/>
    <w:rsid w:val="00BF7392"/>
    <w:rPr>
      <w:sz w:val="16"/>
      <w:szCs w:val="16"/>
    </w:rPr>
  </w:style>
  <w:style w:type="paragraph" w:styleId="Kommentaaritekst">
    <w:name w:val="annotation text"/>
    <w:basedOn w:val="Normaallaad"/>
    <w:link w:val="KommentaaritekstMrk"/>
    <w:uiPriority w:val="99"/>
    <w:unhideWhenUsed/>
    <w:rsid w:val="00BF7392"/>
    <w:pPr>
      <w:spacing w:line="240" w:lineRule="auto"/>
    </w:pPr>
    <w:rPr>
      <w:sz w:val="20"/>
      <w:szCs w:val="20"/>
    </w:rPr>
  </w:style>
  <w:style w:type="character" w:customStyle="1" w:styleId="KommentaaritekstMrk">
    <w:name w:val="Kommentaari tekst Märk"/>
    <w:basedOn w:val="Liguvaikefont"/>
    <w:link w:val="Kommentaaritekst"/>
    <w:uiPriority w:val="99"/>
    <w:rsid w:val="00BF7392"/>
    <w:rPr>
      <w:sz w:val="20"/>
      <w:szCs w:val="20"/>
    </w:rPr>
  </w:style>
  <w:style w:type="paragraph" w:styleId="Kommentaariteema">
    <w:name w:val="annotation subject"/>
    <w:basedOn w:val="Kommentaaritekst"/>
    <w:next w:val="Kommentaaritekst"/>
    <w:link w:val="KommentaariteemaMrk"/>
    <w:uiPriority w:val="99"/>
    <w:semiHidden/>
    <w:unhideWhenUsed/>
    <w:rsid w:val="00BF7392"/>
    <w:rPr>
      <w:b/>
      <w:bCs/>
    </w:rPr>
  </w:style>
  <w:style w:type="character" w:customStyle="1" w:styleId="KommentaariteemaMrk">
    <w:name w:val="Kommentaari teema Märk"/>
    <w:basedOn w:val="KommentaaritekstMrk"/>
    <w:link w:val="Kommentaariteema"/>
    <w:uiPriority w:val="99"/>
    <w:semiHidden/>
    <w:rsid w:val="00BF73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BD3A198704C954882CAA79B8BAAFA83" ma:contentTypeVersion="24" ma:contentTypeDescription="Loo uus dokument" ma:contentTypeScope="" ma:versionID="2a68eccf5f597c508143b5f70ada9c6b">
  <xsd:schema xmlns:xsd="http://www.w3.org/2001/XMLSchema" xmlns:xs="http://www.w3.org/2001/XMLSchema" xmlns:p="http://schemas.microsoft.com/office/2006/metadata/properties" xmlns:ns2="f9c4866b-30f9-435c-a654-b02a2198404e" xmlns:ns3="5ee038f0-6824-4b44-a7e3-ea41971539f1" xmlns:ns4="20f4a9f1-15ab-4aa8-bc21-8ea465a7e045" targetNamespace="http://schemas.microsoft.com/office/2006/metadata/properties" ma:root="true" ma:fieldsID="d6683a1a3f95b06fcf166c1da891e1ff" ns2:_="" ns3:_="" ns4:_="">
    <xsd:import namespace="f9c4866b-30f9-435c-a654-b02a2198404e"/>
    <xsd:import namespace="5ee038f0-6824-4b44-a7e3-ea41971539f1"/>
    <xsd:import namespace="20f4a9f1-15ab-4aa8-bc21-8ea465a7e0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4:TaxCatchAll" minOccurs="0"/>
                <xsd:element ref="ns2:lcf76f155ced4ddcb4097134ff3c332f" minOccurs="0"/>
                <xsd:element ref="ns2:Vastutavisik" minOccurs="0"/>
                <xsd:element ref="ns2:Staatu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4866b-30f9-435c-a654-b02a219840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Pildisildid" ma:readOnly="false" ma:fieldId="{5cf76f15-5ced-4ddc-b409-7134ff3c332f}" ma:taxonomyMulti="true" ma:sspId="11b832bc-7d09-4ffc-a2d1-04f53765f139" ma:termSetId="09814cd3-568e-fe90-9814-8d621ff8fb84" ma:anchorId="fba54fb3-c3e1-fe81-a776-ca4b69148c4d" ma:open="true" ma:isKeyword="false">
      <xsd:complexType>
        <xsd:sequence>
          <xsd:element ref="pc:Terms" minOccurs="0" maxOccurs="1"/>
        </xsd:sequence>
      </xsd:complexType>
    </xsd:element>
    <xsd:element name="Vastutavisik" ma:index="24" nillable="true" ma:displayName="Vastutav isik" ma:format="Dropdown" ma:list="UserInfo" ma:SharePointGroup="0" ma:internalName="Vastutavisik">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atus" ma:index="25" nillable="true" ma:displayName="Staatus" ma:format="Dropdown" ma:internalName="Staatus">
      <xsd:simpleType>
        <xsd:restriction base="dms:Choice">
          <xsd:enumeration value="OOtel"/>
          <xsd:enumeration value="Kinnitatud"/>
          <xsd:enumeration value="Tagasi lükatud"/>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e038f0-6824-4b44-a7e3-ea41971539f1" elementFormDefault="qualified">
    <xsd:import namespace="http://schemas.microsoft.com/office/2006/documentManagement/types"/>
    <xsd:import namespace="http://schemas.microsoft.com/office/infopath/2007/PartnerControls"/>
    <xsd:element name="SharedWithUsers" ma:index="1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Ühiskasutusse andmise üksikasjad"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f4a9f1-15ab-4aa8-bc21-8ea465a7e04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fa963de-80f2-4d68-a2c4-2f39ded54130}" ma:internalName="TaxCatchAll" ma:showField="CatchAllData" ma:web="20f4a9f1-15ab-4aa8-bc21-8ea465a7e0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astutavisik xmlns="f9c4866b-30f9-435c-a654-b02a2198404e">
      <UserInfo>
        <DisplayName/>
        <AccountId xsi:nil="true"/>
        <AccountType/>
      </UserInfo>
    </Vastutavisik>
    <Staatus xmlns="f9c4866b-30f9-435c-a654-b02a2198404e" xsi:nil="true"/>
    <TaxCatchAll xmlns="20f4a9f1-15ab-4aa8-bc21-8ea465a7e045" xsi:nil="true"/>
    <lcf76f155ced4ddcb4097134ff3c332f xmlns="f9c4866b-30f9-435c-a654-b02a219840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F6FB58-D1D9-4374-A7C1-38D01ACE3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4866b-30f9-435c-a654-b02a2198404e"/>
    <ds:schemaRef ds:uri="5ee038f0-6824-4b44-a7e3-ea41971539f1"/>
    <ds:schemaRef ds:uri="20f4a9f1-15ab-4aa8-bc21-8ea465a7e0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037317-0585-4D29-B6EF-2524D4A90602}">
  <ds:schemaRefs>
    <ds:schemaRef ds:uri="http://schemas.microsoft.com/sharepoint/v3/contenttype/forms"/>
  </ds:schemaRefs>
</ds:datastoreItem>
</file>

<file path=customXml/itemProps3.xml><?xml version="1.0" encoding="utf-8"?>
<ds:datastoreItem xmlns:ds="http://schemas.openxmlformats.org/officeDocument/2006/customXml" ds:itemID="{C8F3A82D-6103-4340-ABB1-8D00817BB41A}">
  <ds:schemaRefs>
    <ds:schemaRef ds:uri="http://schemas.microsoft.com/office/2006/metadata/properties"/>
    <ds:schemaRef ds:uri="http://schemas.microsoft.com/office/infopath/2007/PartnerControls"/>
    <ds:schemaRef ds:uri="f9c4866b-30f9-435c-a654-b02a2198404e"/>
    <ds:schemaRef ds:uri="20f4a9f1-15ab-4aa8-bc21-8ea465a7e045"/>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835</Words>
  <Characters>4848</Characters>
  <Application>Microsoft Office Word</Application>
  <DocSecurity>0</DocSecurity>
  <Lines>40</Lines>
  <Paragraphs>11</Paragraphs>
  <ScaleCrop>false</ScaleCrop>
  <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Kadri Pungas (ITL)</dc:creator>
  <cp:keywords/>
  <dc:description/>
  <cp:lastModifiedBy>Kadri Pungas (ITL)</cp:lastModifiedBy>
  <cp:revision>48</cp:revision>
  <dcterms:created xsi:type="dcterms:W3CDTF">2025-06-04T11:25:00Z</dcterms:created>
  <dcterms:modified xsi:type="dcterms:W3CDTF">2025-06-05T11:38:00Z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0x0101000BD3A198704C954882CAA79B8BAAFA83</vt:lpwstr>
  </property>
  <property fmtid="{D5CDD505-2E9C-101B-9397-08002B2CF9AE}" pid="3" name="MediaServiceImageTags">
    <vt:lpwstr/>
  </property>
</Properties>
</file>